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03" w:rsidRDefault="00D56103" w:rsidP="00D56103">
      <w:pPr>
        <w:autoSpaceDE w:val="0"/>
        <w:autoSpaceDN w:val="0"/>
        <w:rPr>
          <w:rFonts w:ascii="TimesNewRomanPSMT,Bold" w:hAnsi="TimesNewRomanPSMT,Bold"/>
          <w:b/>
          <w:bCs/>
          <w:sz w:val="28"/>
          <w:szCs w:val="28"/>
          <w:u w:val="single"/>
        </w:rPr>
      </w:pPr>
      <w:r>
        <w:rPr>
          <w:rFonts w:ascii="TimesNewRomanPSMT,Bold" w:hAnsi="TimesNewRomanPSMT,Bold"/>
          <w:b/>
          <w:bCs/>
          <w:sz w:val="28"/>
          <w:szCs w:val="28"/>
          <w:u w:val="single"/>
        </w:rPr>
        <w:t>Process for Determining CEO compensation</w:t>
      </w:r>
    </w:p>
    <w:p w:rsidR="00D56103" w:rsidRDefault="00D56103" w:rsidP="00D56103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>Annual Raise Policies.</w:t>
      </w:r>
    </w:p>
    <w:p w:rsidR="00D56103" w:rsidRDefault="00D56103" w:rsidP="00D56103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a. Attorneys. </w:t>
      </w:r>
      <w:r>
        <w:rPr>
          <w:rFonts w:ascii="TimesNewRomanPSMT" w:hAnsi="TimesNewRomanPSMT"/>
          <w:sz w:val="24"/>
          <w:szCs w:val="24"/>
        </w:rPr>
        <w:t>Attorney salary scales may be increased each year by a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cost-of-living adjustment which is calculated using the Bureau of Labor statistics.* At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January 1 of each year, attorney staff advance to the next year of experience on the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scale; attorneys who are hired with no experience following a June graduation but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before January 1st of any year will stay at 0 years of experience on the scale. A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ceiling has been placed on attorney salaries at the 24th step. Inter-city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cost-of-living differentials (aka locality differentials) are paid to attorneys in the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District of Columbia and in Alaska and are surveyed and revised each year prior to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January 1. Salary schedules are reviewed every two years (even numbered years),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by the Executive Committee of the Board of Directors, to make sure NARF's salary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schedule is competitive with comparable positions</w:t>
      </w:r>
      <w:proofErr w:type="gramStart"/>
      <w:r>
        <w:rPr>
          <w:rFonts w:ascii="TimesNewRomanPSMT" w:hAnsi="TimesNewRomanPSMT"/>
          <w:sz w:val="24"/>
          <w:szCs w:val="24"/>
        </w:rPr>
        <w:t>.*</w:t>
      </w:r>
      <w:proofErr w:type="gramEnd"/>
      <w:r>
        <w:rPr>
          <w:rFonts w:ascii="TimesNewRomanPSMT" w:hAnsi="TimesNewRomanPSMT"/>
          <w:sz w:val="24"/>
          <w:szCs w:val="24"/>
        </w:rPr>
        <w:t>*</w:t>
      </w:r>
    </w:p>
    <w:p w:rsidR="00D56103" w:rsidRDefault="00D56103" w:rsidP="00D56103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D56103" w:rsidRDefault="00D56103" w:rsidP="00D56103">
      <w:pPr>
        <w:rPr>
          <w:rFonts w:ascii="TimesNewRomanPSMT" w:hAnsi="TimesNewRomanPSMT"/>
          <w:sz w:val="24"/>
          <w:szCs w:val="24"/>
        </w:rPr>
      </w:pPr>
      <w:proofErr w:type="gramStart"/>
      <w:r>
        <w:rPr>
          <w:rFonts w:ascii="TimesNewRomanPSMT,Bold" w:hAnsi="TimesNewRomanPSMT,Bold"/>
          <w:b/>
          <w:bCs/>
          <w:sz w:val="24"/>
          <w:szCs w:val="24"/>
        </w:rPr>
        <w:t>b</w:t>
      </w:r>
      <w:proofErr w:type="gramEnd"/>
      <w:r>
        <w:rPr>
          <w:rFonts w:ascii="TimesNewRomanPSMT,Bold" w:hAnsi="TimesNewRomanPSMT,Bold"/>
          <w:b/>
          <w:bCs/>
          <w:sz w:val="24"/>
          <w:szCs w:val="24"/>
        </w:rPr>
        <w:t xml:space="preserve">. Executive Director. </w:t>
      </w:r>
      <w:r>
        <w:rPr>
          <w:rFonts w:ascii="TimesNewRomanPSMT" w:hAnsi="TimesNewRomanPSMT"/>
          <w:sz w:val="24"/>
          <w:szCs w:val="24"/>
        </w:rPr>
        <w:t>The Executive Director's salary shall be calculated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according to the NARF staff attorney salary schedule which is based on years of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experience. The amount of $33,655.00 will be added in order to compensate for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the additional responsibilities required of the Executive Director. Raises are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calculated according to the method used for staff attorneys. An exception to this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policy will be made where necessary in order to ensure that the Executive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Director's salary is at least $1,000.00 above the highest paid staff attorney's base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salary. In the event of the departure of an attorney which would cause the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Executive Director's salary to be out of line with this policy or the exception, no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raises will be given until the Director's salary is again in accordance with this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policy or the exception.</w:t>
      </w:r>
    </w:p>
    <w:p w:rsidR="00D56103" w:rsidRDefault="00D56103" w:rsidP="00D56103">
      <w:pPr>
        <w:rPr>
          <w:rFonts w:ascii="TimesNewRomanPSMT" w:hAnsi="TimesNewRomanPSMT"/>
          <w:sz w:val="24"/>
          <w:szCs w:val="24"/>
        </w:rPr>
      </w:pPr>
    </w:p>
    <w:p w:rsidR="00D56103" w:rsidRDefault="00D56103" w:rsidP="00D56103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* An Executive Committee decision can override the Federal cost-of-living adjustment.</w:t>
      </w:r>
    </w:p>
    <w:p w:rsidR="00D56103" w:rsidRDefault="00D56103" w:rsidP="00D56103">
      <w:pPr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** Salary ceilings are established annually to equal the average pay range maximum for similar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positions in other local area positions. When an employee is at or above the NARF ceiling, only the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annual cost-of-living adjustment will be given until the ceiling advances.</w:t>
      </w:r>
      <w:bookmarkStart w:id="0" w:name="_GoBack"/>
    </w:p>
    <w:bookmarkEnd w:id="0"/>
    <w:p w:rsidR="00BE3725" w:rsidRDefault="00D56103"/>
    <w:sectPr w:rsidR="00BE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3"/>
    <w:rsid w:val="003C36D0"/>
    <w:rsid w:val="00D56103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422C-B2CB-447C-9F05-EE634A4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1800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Mauda2 Moran</dc:creator>
  <cp:keywords/>
  <dc:description/>
  <cp:lastModifiedBy>Mauda2 Moran</cp:lastModifiedBy>
  <cp:revision>1</cp:revision>
  <dcterms:created xsi:type="dcterms:W3CDTF">2017-09-08T19:15:00Z</dcterms:created>
  <dcterms:modified xsi:type="dcterms:W3CDTF">2017-09-08T19:16:00Z</dcterms:modified>
</cp:coreProperties>
</file>